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71"/>
        <w:tblLayout w:type="fixed"/>
        <w:tblCellMar>
          <w:left w:type="dxa" w:w="71"/>
          <w:right w:type="dxa" w:w="71"/>
        </w:tblCellMar>
      </w:tblPr>
      <w:tblGrid>
        <w:gridCol w:w="1879"/>
        <w:gridCol w:w="3874"/>
      </w:tblGrid>
      <w:tr>
        <w:tc>
          <w:tcPr>
            <w:tcW w:type="dxa" w:w="1879"/>
            <w:tcMar>
              <w:left w:type="dxa" w:w="71"/>
              <w:right w:type="dxa" w:w="71"/>
            </w:tcMar>
          </w:tcPr>
          <w:p w14:paraId="01000000"/>
        </w:tc>
        <w:tc>
          <w:tcPr>
            <w:tcW w:type="dxa" w:w="3874"/>
            <w:tcMar>
              <w:left w:type="dxa" w:w="71"/>
              <w:right w:type="dxa" w:w="71"/>
            </w:tcMar>
          </w:tcPr>
          <w:p w14:paraId="02000000">
            <w:pPr>
              <w:spacing w:after="0" w:line="240" w:lineRule="auto"/>
              <w:ind/>
              <w:jc w:val="center"/>
              <w:rPr>
                <w:rFonts w:ascii="Tahoma" w:hAnsi="Tahoma"/>
                <w:b w:val="1"/>
                <w:color w:val="000000"/>
                <w:sz w:val="24"/>
              </w:rPr>
            </w:pPr>
            <w:r>
              <w:rPr>
                <w:rFonts w:ascii="Tahoma" w:hAnsi="Tahoma"/>
                <w:b w:val="1"/>
                <w:color w:val="000000"/>
                <w:sz w:val="24"/>
              </w:rPr>
              <w:t>АДМИНИСТРАЦИЯ КЛЮЧЕВСКОГО</w:t>
            </w:r>
            <w:r>
              <w:rPr>
                <w:rFonts w:ascii="Tahoma" w:hAnsi="Tahoma"/>
                <w:b w:val="1"/>
                <w:color w:val="000000"/>
                <w:sz w:val="24"/>
              </w:rPr>
              <w:t xml:space="preserve"> СЕЛЬСОВЕТ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ahoma" w:hAnsi="Tahoma"/>
                <w:color w:val="000000"/>
                <w:sz w:val="24"/>
              </w:rPr>
            </w:pPr>
            <w:r>
              <w:rPr>
                <w:rFonts w:ascii="Tahoma" w:hAnsi="Tahoma"/>
                <w:b w:val="1"/>
                <w:color w:val="000000"/>
                <w:sz w:val="24"/>
              </w:rPr>
              <w:t>ГОРШЕЧЕНСКОГО РАЙОНА КУРСКОЙ ОБЛАСТИ</w:t>
            </w:r>
          </w:p>
          <w:p w14:paraId="04000000">
            <w:pPr>
              <w:spacing w:after="75" w:before="75" w:line="240" w:lineRule="auto"/>
              <w:ind/>
              <w:jc w:val="center"/>
              <w:rPr>
                <w:rFonts w:ascii="Tahoma" w:hAnsi="Tahoma"/>
                <w:color w:val="000000"/>
                <w:sz w:val="18"/>
              </w:rPr>
            </w:pPr>
          </w:p>
          <w:p w14:paraId="05000000">
            <w:pPr>
              <w:spacing w:after="75" w:before="75" w:line="240" w:lineRule="auto"/>
              <w:ind/>
              <w:jc w:val="center"/>
              <w:rPr>
                <w:rFonts w:ascii="Tahoma" w:hAnsi="Tahoma"/>
                <w:color w:val="000000"/>
                <w:sz w:val="18"/>
              </w:rPr>
            </w:pP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7000000">
      <w:pPr>
        <w:tabs>
          <w:tab w:leader="none" w:pos="4848" w:val="center"/>
          <w:tab w:leader="none" w:pos="10205" w:val="righ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tabs>
          <w:tab w:leader="none" w:pos="4848" w:val="center"/>
          <w:tab w:leader="none" w:pos="10205" w:val="righ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8    </w:t>
      </w:r>
      <w:r>
        <w:rPr>
          <w:rFonts w:ascii="Times New Roman" w:hAnsi="Times New Roman"/>
          <w:sz w:val="28"/>
        </w:rPr>
        <w:t xml:space="preserve">     от 01 марта</w:t>
      </w:r>
      <w:r>
        <w:rPr>
          <w:rFonts w:ascii="Times New Roman" w:hAnsi="Times New Roman"/>
          <w:sz w:val="28"/>
        </w:rPr>
        <w:t xml:space="preserve"> 2024 г</w:t>
      </w:r>
    </w:p>
    <w:p w14:paraId="09000000">
      <w:pPr>
        <w:tabs>
          <w:tab w:leader="none" w:pos="4848" w:val="center"/>
          <w:tab w:leader="none" w:pos="10205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tabs>
          <w:tab w:leader="none" w:pos="4848" w:val="center"/>
          <w:tab w:leader="none" w:pos="10205" w:val="righ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Порядке осуществления казначейского</w:t>
      </w:r>
      <w:bookmarkStart w:id="1" w:name="_GoBack"/>
      <w:bookmarkEnd w:id="1"/>
    </w:p>
    <w:p w14:paraId="0B000000">
      <w:pPr>
        <w:tabs>
          <w:tab w:leader="none" w:pos="4848" w:val="center"/>
          <w:tab w:leader="none" w:pos="10205" w:val="righ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8"/>
        </w:rPr>
        <w:t>соп</w:t>
      </w:r>
      <w:r>
        <w:rPr>
          <w:rFonts w:ascii="Times New Roman" w:hAnsi="Times New Roman"/>
          <w:sz w:val="28"/>
        </w:rPr>
        <w:t>ровождения в отношении средств,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определённых</w:t>
      </w:r>
      <w:r>
        <w:rPr>
          <w:rFonts w:ascii="Times New Roman" w:hAnsi="Times New Roman"/>
          <w:sz w:val="28"/>
        </w:rPr>
        <w:t xml:space="preserve"> в соответствии со статьей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242.26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Бюджетного кодексаРоссийской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"https://home.garant.ru/#/document/12112604/entry/242235"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>5 статьи 242.23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Бюджетного кодекса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"https://home.garant.ru/#/document/403170799/entry/0"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Правительства Российской </w:t>
      </w:r>
      <w:r>
        <w:rPr>
          <w:rFonts w:ascii="Times New Roman" w:hAnsi="Times New Roman"/>
          <w:sz w:val="28"/>
        </w:rPr>
        <w:t xml:space="preserve">Федерации от 01.12.2021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2155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администрация Ключевско госельсовета Горшеченского района Курской области</w:t>
      </w:r>
    </w:p>
    <w:p w14:paraId="0F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</w:t>
      </w:r>
      <w:r>
        <w:rPr>
          <w:rFonts w:ascii="Times New Roman" w:hAnsi="Times New Roman"/>
          <w:b w:val="1"/>
          <w:sz w:val="28"/>
        </w:rPr>
        <w:t>:</w:t>
      </w:r>
    </w:p>
    <w:p w14:paraId="10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"https://home.garant.ru/#/document/403330133/entry/1000"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осуществления казначейского сопровождения в отношении средств, определенных в соответствии со статьей 242.26 Бюджетного кодекса Р</w:t>
      </w:r>
      <w:r>
        <w:rPr>
          <w:rFonts w:ascii="Times New Roman" w:hAnsi="Times New Roman"/>
          <w:sz w:val="28"/>
        </w:rPr>
        <w:t>оссийской Федерации (приложение № 1</w:t>
      </w:r>
      <w:r>
        <w:rPr>
          <w:rFonts w:ascii="Times New Roman" w:hAnsi="Times New Roman"/>
          <w:sz w:val="28"/>
        </w:rPr>
        <w:t>).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Данное постановление вступает в силу с момента его </w:t>
      </w:r>
      <w:r>
        <w:rPr>
          <w:rFonts w:ascii="Times New Roman" w:hAnsi="Times New Roman"/>
          <w:sz w:val="28"/>
        </w:rPr>
        <w:t>подписания</w:t>
      </w:r>
    </w:p>
    <w:p w14:paraId="12000000">
      <w:pPr>
        <w:tabs>
          <w:tab w:leader="none" w:pos="64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z w:val="28"/>
        </w:rPr>
        <w:t>за исполнением настоящего постановления оставляю за собой.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Ключевского сельсовета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Горшеченского района                             Е.Л.Бормин</w:t>
      </w:r>
    </w:p>
    <w:p w14:paraId="19000000">
      <w:pPr>
        <w:spacing w:after="0" w:line="240" w:lineRule="auto"/>
        <w:ind w:firstLine="0" w:left="5387"/>
        <w:jc w:val="right"/>
        <w:rPr>
          <w:rFonts w:ascii="Times New Roman" w:hAnsi="Times New Roman"/>
          <w:sz w:val="18"/>
        </w:rPr>
      </w:pPr>
    </w:p>
    <w:p w14:paraId="1A000000">
      <w:pPr>
        <w:spacing w:after="0" w:line="240" w:lineRule="auto"/>
        <w:ind w:firstLine="0" w:left="5387"/>
        <w:jc w:val="right"/>
        <w:rPr>
          <w:rFonts w:ascii="Times New Roman" w:hAnsi="Times New Roman"/>
          <w:sz w:val="18"/>
        </w:rPr>
      </w:pPr>
    </w:p>
    <w:p w14:paraId="1B000000">
      <w:pPr>
        <w:spacing w:after="0" w:line="240" w:lineRule="auto"/>
        <w:ind/>
        <w:rPr>
          <w:rFonts w:ascii="Times New Roman" w:hAnsi="Times New Roman"/>
        </w:rPr>
      </w:pPr>
    </w:p>
    <w:p w14:paraId="1C000000">
      <w:pPr>
        <w:spacing w:after="0" w:line="240" w:lineRule="auto"/>
        <w:ind w:firstLine="0" w:left="5670"/>
        <w:rPr>
          <w:rFonts w:ascii="Times New Roman" w:hAnsi="Times New Roman"/>
        </w:rPr>
      </w:pPr>
    </w:p>
    <w:p w14:paraId="1D000000">
      <w:pPr>
        <w:spacing w:after="0" w:line="240" w:lineRule="auto"/>
        <w:ind w:firstLine="0" w:left="5670"/>
        <w:rPr>
          <w:rFonts w:ascii="Times New Roman" w:hAnsi="Times New Roman"/>
        </w:rPr>
      </w:pPr>
    </w:p>
    <w:p w14:paraId="1E000000">
      <w:pPr>
        <w:spacing w:after="0" w:line="240" w:lineRule="auto"/>
        <w:ind w:firstLine="0" w:left="5670"/>
        <w:rPr>
          <w:rFonts w:ascii="Times New Roman" w:hAnsi="Times New Roman"/>
        </w:rPr>
      </w:pPr>
    </w:p>
    <w:p w14:paraId="1F000000">
      <w:pPr>
        <w:spacing w:after="0" w:line="240" w:lineRule="auto"/>
        <w:ind w:firstLine="0" w:left="5670"/>
        <w:rPr>
          <w:rFonts w:ascii="Times New Roman" w:hAnsi="Times New Roman"/>
        </w:rPr>
      </w:pPr>
    </w:p>
    <w:p w14:paraId="20000000">
      <w:pPr>
        <w:spacing w:after="0" w:line="240" w:lineRule="auto"/>
        <w:ind w:firstLine="0" w:left="5670"/>
        <w:rPr>
          <w:rFonts w:ascii="Times New Roman" w:hAnsi="Times New Roman"/>
        </w:rPr>
      </w:pPr>
    </w:p>
    <w:p w14:paraId="21000000">
      <w:pPr>
        <w:spacing w:after="0" w:line="240" w:lineRule="auto"/>
        <w:ind w:firstLine="0" w:left="5670"/>
        <w:rPr>
          <w:rFonts w:ascii="Times New Roman" w:hAnsi="Times New Roman"/>
        </w:rPr>
      </w:pPr>
    </w:p>
    <w:p w14:paraId="22000000">
      <w:pPr>
        <w:spacing w:after="0" w:line="240" w:lineRule="auto"/>
        <w:ind w:firstLine="0" w:left="5670"/>
        <w:rPr>
          <w:rFonts w:ascii="Times New Roman" w:hAnsi="Times New Roman"/>
        </w:rPr>
      </w:pPr>
    </w:p>
    <w:p w14:paraId="23000000">
      <w:pPr>
        <w:spacing w:after="0" w:line="240" w:lineRule="auto"/>
        <w:ind w:firstLine="0" w:left="567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>№ 1</w:t>
      </w:r>
    </w:p>
    <w:p w14:paraId="24000000">
      <w:pPr>
        <w:spacing w:after="0" w:line="240" w:lineRule="auto"/>
        <w:ind w:firstLine="0"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остановлению Ключевского                       сельсовета </w:t>
      </w:r>
    </w:p>
    <w:p w14:paraId="25000000">
      <w:pPr>
        <w:spacing w:after="0" w:line="240" w:lineRule="auto"/>
        <w:ind w:firstLine="0"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01.02</w:t>
      </w:r>
      <w:r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г      </w:t>
      </w:r>
      <w:r>
        <w:rPr>
          <w:rFonts w:ascii="Times New Roman" w:hAnsi="Times New Roman"/>
        </w:rPr>
        <w:t xml:space="preserve">  № 5</w:t>
      </w:r>
    </w:p>
    <w:p w14:paraId="26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ПОРЯДОК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  <w:r>
        <w:rPr>
          <w:rFonts w:ascii="Times New Roman" w:hAnsi="Times New Roman"/>
          <w:b w:val="1"/>
          <w:sz w:val="26"/>
        </w:rPr>
        <w:t>.</w:t>
      </w:r>
    </w:p>
    <w:p w14:paraId="27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Настоящий Порядок устанавливает порядок осуществления </w:t>
      </w:r>
      <w:r>
        <w:rPr>
          <w:rFonts w:ascii="Times New Roman" w:hAnsi="Times New Roman"/>
          <w:sz w:val="26"/>
        </w:rPr>
        <w:t xml:space="preserve">администрацией </w:t>
      </w:r>
      <w:r>
        <w:rPr>
          <w:rFonts w:ascii="Times New Roman" w:hAnsi="Times New Roman"/>
          <w:sz w:val="26"/>
        </w:rPr>
        <w:t>Ключевского сельсовета Горшеченского района Курской области</w:t>
      </w:r>
      <w:r>
        <w:rPr>
          <w:rFonts w:ascii="Times New Roman" w:hAnsi="Times New Roman"/>
          <w:sz w:val="26"/>
        </w:rPr>
        <w:t>казначейского сопровождения в отношении средств, определенных в соответствии со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"https://home.garant.ru/#/document/12112604/entry/24226"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статьей 242.26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 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14:paraId="28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федеральными законами или решениями Правительства Российской Федерации, предусмотренными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"https://home.garant.ru/#/document/12112604/entry/2422612"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подпунктом 2 пункта 1 статьи 242.26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</w:t>
      </w:r>
      <w:r>
        <w:rPr>
          <w:rFonts w:ascii="Times New Roman" w:hAnsi="Times New Roman"/>
          <w:sz w:val="26"/>
        </w:rPr>
        <w:t xml:space="preserve">муниципальном </w:t>
      </w:r>
      <w:r>
        <w:rPr>
          <w:rFonts w:ascii="Times New Roman" w:hAnsi="Times New Roman"/>
          <w:sz w:val="26"/>
        </w:rPr>
        <w:t>частном партнерстве, настоящий Порядок распространяется в отношении указанных соглашений.</w:t>
      </w:r>
    </w:p>
    <w:p w14:paraId="29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 xml:space="preserve">Казначейскому сопровождению подлежат целевые средства, предоставляемые на основании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контрактов о поставке товаров, выполнении работ, оказании услуг (далее - </w:t>
      </w:r>
      <w:r>
        <w:rPr>
          <w:rFonts w:ascii="Times New Roman" w:hAnsi="Times New Roman"/>
          <w:sz w:val="26"/>
        </w:rPr>
        <w:t>муниципальный</w:t>
      </w:r>
      <w:r>
        <w:rPr>
          <w:rFonts w:ascii="Times New Roman" w:hAnsi="Times New Roman"/>
          <w:sz w:val="26"/>
        </w:rPr>
        <w:t xml:space="preserve"> контракт), договоров (соглашений) о предоставлении субсидий, договоров о предоставлении бюджетных инвестиций в соответствии со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"https://home.garant.ru/#/document/12112604/entry/80"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статьей 80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контрактов, договоров (соглашений) (далее - контракт (договор)), содержащих положения, аналогичные установленным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"https://home.garant.ru/#/document/12112604/entry/242232"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2 статьи 242.23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14:paraId="2A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Операции с целевыми средствами осуществляются на лицевых счетах, открываемых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 xml:space="preserve">Ключевского сельсовета Горшеченского района Курской области </w:t>
      </w:r>
      <w:r>
        <w:rPr>
          <w:rFonts w:ascii="Times New Roman" w:hAnsi="Times New Roman"/>
          <w:sz w:val="26"/>
        </w:rPr>
        <w:t xml:space="preserve">в установленном 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порядке в соответствии с общими требованиями, установленными Федеральным казначейством согласно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"https://home.garant.ru/#/document/12112604/entry/220109"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пункту 9 статьи 220.1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 Бюджетного кодекса Российской Федерации (далее - лицевой счет), и с соблюдением  участниками казначейского сопровождения условий ведения и использования лицевого счета (режима лицевого счета), указанных в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"https://home.garant.ru/#/document/12112604/entry/242233"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пункте 3 статьи 242.23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14:paraId="2B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"https://home.garant.ru/#/document/12112604/entry/242131"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статьей 242.13-1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14:paraId="2D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Операции с целевыми средствами проводятся на лицевых счетах после осуществления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дминистрацией </w:t>
      </w:r>
      <w:r>
        <w:rPr>
          <w:rFonts w:ascii="Times New Roman" w:hAnsi="Times New Roman"/>
          <w:sz w:val="26"/>
        </w:rPr>
        <w:t>Ключевского сельсовета Горшеченского района</w:t>
      </w:r>
      <w:r>
        <w:rPr>
          <w:rFonts w:ascii="Times New Roman" w:hAnsi="Times New Roman"/>
          <w:sz w:val="26"/>
        </w:rPr>
        <w:t xml:space="preserve">санкционирования указанных операций в порядке, установленном </w:t>
      </w:r>
      <w:r>
        <w:rPr>
          <w:rFonts w:ascii="Times New Roman" w:hAnsi="Times New Roman"/>
          <w:sz w:val="26"/>
        </w:rPr>
        <w:t xml:space="preserve">администрацией </w:t>
      </w:r>
      <w:r>
        <w:rPr>
          <w:rFonts w:ascii="Times New Roman" w:hAnsi="Times New Roman"/>
          <w:sz w:val="26"/>
        </w:rPr>
        <w:t>Ключевского сельсовета</w:t>
      </w:r>
      <w:r>
        <w:rPr>
          <w:rFonts w:ascii="Times New Roman" w:hAnsi="Times New Roman"/>
          <w:sz w:val="26"/>
        </w:rPr>
        <w:t>в соответствии с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"https://home.garant.ru/#/document/403170799/entry/0"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 Правительства Российской Федерации от 01.12.2021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2155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2E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 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"https://home.garant.ru/#/document/12112604/entry/242243"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3 статьи 242.24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 Бюджетного кодекса Российской Федерации.</w:t>
      </w:r>
    </w:p>
    <w:p w14:paraId="2F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 Взаимодействие при осуществлении операций с целевыми средствами, а также при обмене документами между </w:t>
      </w:r>
      <w:r>
        <w:rPr>
          <w:rFonts w:ascii="Times New Roman" w:hAnsi="Times New Roman"/>
          <w:sz w:val="26"/>
        </w:rPr>
        <w:t xml:space="preserve">администрацией </w:t>
      </w:r>
      <w:r>
        <w:rPr>
          <w:rFonts w:ascii="Times New Roman" w:hAnsi="Times New Roman"/>
          <w:sz w:val="26"/>
        </w:rPr>
        <w:t>Ключевского сельсовета</w:t>
      </w:r>
      <w:r>
        <w:rPr>
          <w:rFonts w:ascii="Times New Roman" w:hAnsi="Times New Roman"/>
          <w:sz w:val="26"/>
        </w:rPr>
        <w:t xml:space="preserve">, получателем средств </w:t>
      </w:r>
      <w:r>
        <w:rPr>
          <w:rFonts w:ascii="Times New Roman" w:hAnsi="Times New Roman"/>
          <w:sz w:val="26"/>
        </w:rPr>
        <w:t>местного</w:t>
      </w:r>
      <w:r>
        <w:rPr>
          <w:rFonts w:ascii="Times New Roman" w:hAnsi="Times New Roman"/>
          <w:sz w:val="26"/>
        </w:rPr>
        <w:t xml:space="preserve">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</w:t>
      </w:r>
      <w:r>
        <w:rPr>
          <w:rFonts w:ascii="Times New Roman" w:hAnsi="Times New Roman"/>
          <w:sz w:val="26"/>
        </w:rPr>
        <w:t>.</w:t>
      </w:r>
    </w:p>
    <w:p w14:paraId="30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Администрация </w:t>
      </w:r>
      <w:r>
        <w:rPr>
          <w:rFonts w:ascii="Times New Roman" w:hAnsi="Times New Roman"/>
          <w:sz w:val="26"/>
        </w:rPr>
        <w:t>Ключевского сельсовета</w:t>
      </w:r>
      <w:r>
        <w:rPr>
          <w:rFonts w:ascii="Times New Roman" w:hAnsi="Times New Roman"/>
          <w:sz w:val="26"/>
        </w:rPr>
        <w:t xml:space="preserve">ежедневно (в рабочие дни) предоставляет информацию о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Электронный бюджет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s_3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s_3"/>
    <w:basedOn w:val="Style_2_ch"/>
    <w:link w:val="Style_5"/>
    <w:rPr>
      <w:rFonts w:ascii="Times New Roman" w:hAnsi="Times New Roman"/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empty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empty"/>
    <w:basedOn w:val="Style_2_ch"/>
    <w:link w:val="Style_9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s_37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s_37"/>
    <w:basedOn w:val="Style_2_ch"/>
    <w:link w:val="Style_11"/>
    <w:rPr>
      <w:rFonts w:ascii="Times New Roman" w:hAnsi="Times New Roman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s_1"/>
    <w:basedOn w:val="Style_2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s_1"/>
    <w:basedOn w:val="Style_2_ch"/>
    <w:link w:val="Style_15"/>
    <w:rPr>
      <w:rFonts w:ascii="Times New Roman" w:hAnsi="Times New Roman"/>
      <w:sz w:val="24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yperlink"/>
    <w:basedOn w:val="Style_10"/>
    <w:link w:val="Style_17_ch"/>
    <w:rPr>
      <w:color w:val="0000FF"/>
      <w:u w:val="single"/>
    </w:rPr>
  </w:style>
  <w:style w:styleId="Style_17_ch" w:type="character">
    <w:name w:val="Hyperlink"/>
    <w:basedOn w:val="Style_10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No Spacing"/>
    <w:link w:val="Style_21_ch"/>
    <w:pPr>
      <w:spacing w:after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s_16"/>
    <w:basedOn w:val="Style_2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s_16"/>
    <w:basedOn w:val="Style_2_ch"/>
    <w:link w:val="Style_26"/>
    <w:rPr>
      <w:rFonts w:ascii="Times New Roman" w:hAnsi="Times New Roman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List Paragraph"/>
    <w:basedOn w:val="Style_2"/>
    <w:link w:val="Style_2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9_ch" w:type="character">
    <w:name w:val="List Paragraph"/>
    <w:basedOn w:val="Style_2_ch"/>
    <w:link w:val="Style_29"/>
    <w:rPr>
      <w:rFonts w:ascii="Times New Roman" w:hAnsi="Times New Roman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2024-05-15T07:29:28Z</dcterms:modified>
</cp:coreProperties>
</file>