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0D" w:rsidRDefault="00642F3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 КЛЮЧЕВСКОГО СЕЛЬСОВЕТА</w:t>
      </w:r>
    </w:p>
    <w:p w:rsidR="002F7D0D" w:rsidRDefault="00642F3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ГОРШЕЧЕНСКОГО РАЙОНА  </w:t>
      </w:r>
    </w:p>
    <w:p w:rsidR="002F7D0D" w:rsidRDefault="002F7D0D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F7D0D" w:rsidRDefault="00642F3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2F7D0D" w:rsidRDefault="002F7D0D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F7D0D" w:rsidRDefault="00642F3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E23814">
        <w:rPr>
          <w:rFonts w:ascii="Arial" w:hAnsi="Arial" w:cs="Arial"/>
          <w:b/>
          <w:color w:val="auto"/>
          <w:sz w:val="32"/>
          <w:szCs w:val="32"/>
        </w:rPr>
        <w:t xml:space="preserve">20 июня </w:t>
      </w:r>
      <w:r>
        <w:rPr>
          <w:rFonts w:ascii="Arial" w:hAnsi="Arial" w:cs="Arial"/>
          <w:b/>
          <w:color w:val="auto"/>
          <w:sz w:val="32"/>
          <w:szCs w:val="32"/>
        </w:rPr>
        <w:t xml:space="preserve">2023 года № </w:t>
      </w:r>
      <w:r w:rsidR="00E23814">
        <w:rPr>
          <w:rFonts w:ascii="Arial" w:hAnsi="Arial" w:cs="Arial"/>
          <w:b/>
          <w:color w:val="auto"/>
          <w:sz w:val="32"/>
          <w:szCs w:val="32"/>
        </w:rPr>
        <w:t>40</w:t>
      </w:r>
    </w:p>
    <w:p w:rsidR="002F7D0D" w:rsidRDefault="002F7D0D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2F7D0D" w:rsidRDefault="00642F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установлении земельного налога на территории муниципального образования «Ключевский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главой 31 "Земельный налог" части второй части второй </w:t>
      </w:r>
      <w:hyperlink r:id="rId4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Федерации, </w:t>
      </w:r>
      <w:hyperlink r:id="rId5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29.11.2021 г. N 382-ФЗ "О внесении изменений в часть вторую </w:t>
      </w:r>
      <w:hyperlink r:id="rId6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Федерации", Собрание депутатов Ключевского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2F7D0D" w:rsidRDefault="00642F36">
      <w:pPr>
        <w:spacing w:after="0" w:line="240" w:lineRule="atLeast"/>
        <w:ind w:firstLine="85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 Установить на территории муниципального образования "Ключевский сельсовет"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района Курской области земельный налог.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"Ключевский сельсовет"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района Курской области.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Объектами налогообложения признаются земельные участки, расположенные в пределах границ муниципального образования "Ключевский сельсовет".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7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8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</w:t>
      </w:r>
      <w:r>
        <w:rPr>
          <w:rFonts w:ascii="Arial" w:hAnsi="Arial" w:cs="Arial"/>
          <w:color w:val="auto"/>
          <w:sz w:val="24"/>
          <w:szCs w:val="24"/>
        </w:rPr>
        <w:lastRenderedPageBreak/>
        <w:t>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Установить налоговые ставки в процентах от налоговой базы, в размерах: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0, 3 процента в отношении земельных участков: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1, 5 процента в отношении прочих земельных участков.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Не признаются объектом налогообложения: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земельные участки из состава земель лесного фонда;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F7D0D" w:rsidRDefault="00642F36">
      <w:pPr>
        <w:tabs>
          <w:tab w:val="left" w:pos="1035"/>
        </w:tabs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земельные участки, входящие в состав общего имущества многоквартирного дома.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7.Освободить от уплаты земельного налога, в размере 100 процентов за налоговый период 2022 года следующие категории налогоплательщиков: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1) 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10">
        <w:r>
          <w:rPr>
            <w:rFonts w:ascii="Arial" w:hAnsi="Arial" w:cs="Arial"/>
            <w:color w:val="auto"/>
            <w:sz w:val="24"/>
            <w:szCs w:val="24"/>
          </w:rPr>
          <w:t>Указом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Президента Российской Федерации от 21 сентября 2022 года N 647 "Об объявлении частичной мобилизации в Российской Федерации".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9.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10. Установить: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отчетные периоды для налогоплательщиков - организаций первый квартал, второй квартал и третий квартал календарного года.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 Определить следующий порядок уплаты авансовых платежей по земельному налогу и земельного налога: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11.2.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11.3.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</w:t>
      </w:r>
      <w:hyperlink r:id="rId11">
        <w:r>
          <w:rPr>
            <w:rFonts w:ascii="Arial" w:hAnsi="Arial" w:cs="Arial"/>
            <w:color w:val="auto"/>
            <w:sz w:val="24"/>
            <w:szCs w:val="24"/>
          </w:rPr>
          <w:t>п.5 ст.391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12. Порядок исчисления налога и авансовых платежей по земельному налогу определяется в соответствии со </w:t>
      </w:r>
      <w:hyperlink r:id="rId12">
        <w:r>
          <w:rPr>
            <w:rFonts w:ascii="Arial" w:hAnsi="Arial" w:cs="Arial"/>
            <w:color w:val="auto"/>
            <w:sz w:val="24"/>
            <w:szCs w:val="24"/>
          </w:rPr>
          <w:t>ст.396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13. Признать утратившими силу решения Собрания депутатов Ключевского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 района Курской области от 25.11.2019 г. N388 "О земельном налоге".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14. Настоящее Решение вступает в силу со дня его официального обнародования и распространяется на правоотношения, возникшие с 01.01.2022 г.</w:t>
      </w: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2F7D0D" w:rsidRDefault="002F7D0D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2F7D0D" w:rsidRDefault="00642F3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Председатель Собрания депутатов </w:t>
      </w:r>
    </w:p>
    <w:p w:rsidR="002F7D0D" w:rsidRDefault="00642F3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Ключевского сельсовета                                                  Л.И.Бурцева </w:t>
      </w:r>
    </w:p>
    <w:p w:rsidR="002F7D0D" w:rsidRDefault="002F7D0D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:rsidR="002F7D0D" w:rsidRDefault="00642F3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Глава Ключевского сельсовета</w:t>
      </w:r>
    </w:p>
    <w:p w:rsidR="002F7D0D" w:rsidRDefault="00642F3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 района                                                              Е.Л. </w:t>
      </w: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Бормин</w:t>
      </w:r>
      <w:proofErr w:type="spellEnd"/>
    </w:p>
    <w:p w:rsidR="002F7D0D" w:rsidRDefault="002F7D0D">
      <w:bookmarkStart w:id="0" w:name="_GoBack"/>
      <w:bookmarkEnd w:id="0"/>
    </w:p>
    <w:sectPr w:rsidR="002F7D0D" w:rsidSect="002F7D0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7D0D"/>
    <w:rsid w:val="002F7D0D"/>
    <w:rsid w:val="00642F36"/>
    <w:rsid w:val="00A96BB3"/>
    <w:rsid w:val="00E2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-">
    <w:name w:val="Интернет-ссылка"/>
    <w:rsid w:val="002F7D0D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F7D0D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rsid w:val="002F7D0D"/>
    <w:pPr>
      <w:spacing w:after="140"/>
    </w:pPr>
  </w:style>
  <w:style w:type="paragraph" w:styleId="a6">
    <w:name w:val="List"/>
    <w:basedOn w:val="a5"/>
    <w:rsid w:val="002F7D0D"/>
    <w:rPr>
      <w:rFonts w:cs="Arial"/>
    </w:rPr>
  </w:style>
  <w:style w:type="paragraph" w:customStyle="1" w:styleId="Caption">
    <w:name w:val="Caption"/>
    <w:basedOn w:val="a"/>
    <w:qFormat/>
    <w:rsid w:val="002F7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F7D0D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900200/3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900200/389" TargetMode="External"/><Relationship Id="rId12" Type="http://schemas.openxmlformats.org/officeDocument/2006/relationships/hyperlink" Target="http://municipal.garant.ru/document/redirect/10900200/3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900200/0" TargetMode="External"/><Relationship Id="rId11" Type="http://schemas.openxmlformats.org/officeDocument/2006/relationships/hyperlink" Target="http://municipal.garant.ru/document/redirect/10900200/39105" TargetMode="External"/><Relationship Id="rId5" Type="http://schemas.openxmlformats.org/officeDocument/2006/relationships/hyperlink" Target="http://municipal.garant.ru/document/redirect/403124977/0" TargetMode="External"/><Relationship Id="rId10" Type="http://schemas.openxmlformats.org/officeDocument/2006/relationships/hyperlink" Target="http://municipal.garant.ru/document/redirect/405309425/0" TargetMode="External"/><Relationship Id="rId4" Type="http://schemas.openxmlformats.org/officeDocument/2006/relationships/hyperlink" Target="http://municipal.garant.ru/document/redirect/10900200/0" TargetMode="External"/><Relationship Id="rId9" Type="http://schemas.openxmlformats.org/officeDocument/2006/relationships/hyperlink" Target="http://municipal.garant.ru/document/redirect/7173278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1390</Words>
  <Characters>7925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2023-06-29T08:11:00Z</cp:lastPrinted>
  <dcterms:created xsi:type="dcterms:W3CDTF">2023-05-18T08:47:00Z</dcterms:created>
  <dcterms:modified xsi:type="dcterms:W3CDTF">2023-06-29T08:13:00Z</dcterms:modified>
  <dc:language>ru-RU</dc:language>
</cp:coreProperties>
</file>