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640CD" w:rsidRDefault="00460452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КЛЮЧЕВСКОГО</w:t>
      </w:r>
      <w:r w:rsidR="00CC42C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ГОРШЕЧЕНСКОГО РАЙОНА </w:t>
      </w:r>
    </w:p>
    <w:p w:rsidR="007640CD" w:rsidRDefault="00CC42C5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7640CD" w:rsidRDefault="00CC42C5">
      <w:pPr>
        <w:pStyle w:val="Heading2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15.02.2023 г.   № 31</w:t>
      </w:r>
    </w:p>
    <w:p w:rsidR="007640CD" w:rsidRDefault="00CC42C5">
      <w:pPr>
        <w:pStyle w:val="af3"/>
        <w:widowControl/>
        <w:spacing w:before="195" w:after="195" w:line="330" w:lineRule="atLeast"/>
        <w:jc w:val="center"/>
      </w:pPr>
      <w:r>
        <w:rPr>
          <w:rStyle w:val="StrongEmphasis"/>
          <w:rFonts w:ascii="Arial" w:hAnsi="Arial" w:cs="Arial"/>
          <w:color w:val="292D24"/>
          <w:sz w:val="32"/>
          <w:szCs w:val="32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«Ключевский сельсовет» Горшеченского района Курской области</w:t>
      </w:r>
    </w:p>
    <w:p w:rsidR="007640CD" w:rsidRDefault="00CC42C5">
      <w:pPr>
        <w:pStyle w:val="af3"/>
        <w:widowControl/>
        <w:spacing w:before="195" w:after="195" w:line="330" w:lineRule="atLeast"/>
        <w:jc w:val="both"/>
      </w:pPr>
      <w:r>
        <w:rPr>
          <w:rFonts w:ascii="Arial" w:hAnsi="Arial"/>
          <w:color w:val="292D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«Ключевский сельсовет» Горшеченского района Курской области, с целью организации осуществления муниципального контроля в сфере благоустройства на территории Ключевского сельсовета, Собрание депутатов Ключевского сельсовета Горшеченского района решило</w:t>
      </w:r>
      <w:r>
        <w:rPr>
          <w:rStyle w:val="StrongEmphasis"/>
          <w:rFonts w:ascii="Arial" w:hAnsi="Arial"/>
          <w:color w:val="292D24"/>
        </w:rPr>
        <w:t>: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«Ключевского сельсовет» Горшеченского района Курской области и порядок их выявления (приложение № 1).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2. Настоящее Решение подлежит размещению на официальном сайте Администрации Ключевского сельсовета.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 xml:space="preserve">3. Настоящее постановление вступает в силу со дня его официального опубликования. </w:t>
      </w:r>
    </w:p>
    <w:p w:rsidR="007640CD" w:rsidRDefault="00CC42C5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4. Контроль выполнения настоящего постановления оставляю за собой.</w:t>
      </w:r>
    </w:p>
    <w:p w:rsidR="007640CD" w:rsidRDefault="007640CD">
      <w:pPr>
        <w:jc w:val="both"/>
        <w:rPr>
          <w:rFonts w:ascii="Arial" w:eastAsia="Calibri" w:hAnsi="Arial" w:cs="Arial"/>
          <w:b/>
        </w:rPr>
      </w:pP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Председатель Собрания депутатов</w:t>
      </w: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Нижнеборковского сельсовета </w:t>
      </w:r>
    </w:p>
    <w:p w:rsidR="007640CD" w:rsidRDefault="00CC42C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Горшеченского района                                                                        Бурцева Л.И.</w:t>
      </w:r>
    </w:p>
    <w:p w:rsidR="007640CD" w:rsidRDefault="007640CD">
      <w:pPr>
        <w:jc w:val="both"/>
        <w:rPr>
          <w:rFonts w:ascii="Arial" w:eastAsia="Calibri" w:hAnsi="Arial" w:cs="Arial"/>
          <w:b/>
        </w:rPr>
      </w:pPr>
    </w:p>
    <w:p w:rsidR="007640CD" w:rsidRDefault="00CC42C5">
      <w:pPr>
        <w:pStyle w:val="af7"/>
        <w:tabs>
          <w:tab w:val="left" w:pos="9498"/>
        </w:tabs>
        <w:ind w:right="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Глава Ключевского сельсовета </w:t>
      </w:r>
    </w:p>
    <w:p w:rsidR="007640CD" w:rsidRDefault="00CC42C5">
      <w:pPr>
        <w:widowControl/>
        <w:jc w:val="both"/>
        <w:rPr>
          <w:rFonts w:ascii="Arial" w:hAnsi="Arial"/>
          <w:color w:val="292D24"/>
        </w:rPr>
      </w:pPr>
      <w:r>
        <w:rPr>
          <w:rFonts w:ascii="Arial" w:eastAsia="Calibri" w:hAnsi="Arial" w:cs="Arial"/>
          <w:b/>
          <w:color w:val="292D24"/>
        </w:rPr>
        <w:t xml:space="preserve">Горшеченского района                                                                  </w:t>
      </w:r>
      <w:r>
        <w:rPr>
          <w:rFonts w:ascii="Arial" w:eastAsia="Calibri" w:hAnsi="Arial" w:cs="Arial"/>
          <w:b/>
          <w:color w:val="292D24"/>
          <w:lang w:eastAsia="ru-RU"/>
        </w:rPr>
        <w:t>Е.Л. Бормин</w:t>
      </w: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7640CD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7640CD" w:rsidRDefault="00CC42C5">
      <w:pPr>
        <w:pStyle w:val="af3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lastRenderedPageBreak/>
        <w:t>Приложение 1</w:t>
      </w:r>
    </w:p>
    <w:p w:rsidR="007640CD" w:rsidRDefault="00CC42C5">
      <w:pPr>
        <w:pStyle w:val="af3"/>
        <w:widowControl/>
        <w:spacing w:before="195" w:after="195" w:line="330" w:lineRule="atLeast"/>
        <w:ind w:left="6236"/>
        <w:jc w:val="both"/>
        <w:rPr>
          <w:rFonts w:ascii="Arial" w:hAnsi="Arial"/>
          <w:color w:val="292D24"/>
        </w:rPr>
      </w:pPr>
      <w:r>
        <w:rPr>
          <w:rFonts w:ascii="Arial" w:hAnsi="Arial"/>
          <w:color w:val="292D24"/>
        </w:rPr>
        <w:t>к решению Собрания депутатов Ключевского сельсовета №31 от 15.02.2023 года</w:t>
      </w:r>
    </w:p>
    <w:p w:rsidR="007640CD" w:rsidRDefault="00CC42C5">
      <w:pPr>
        <w:pStyle w:val="ConsPlusTitle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Ключевского сельсовета Горшеченского района контроля в сфере благоустройства</w:t>
      </w:r>
    </w:p>
    <w:p w:rsidR="007640CD" w:rsidRDefault="007640CD">
      <w:pPr>
        <w:pStyle w:val="ConsPlusNormal"/>
        <w:ind w:firstLine="540"/>
        <w:contextualSpacing/>
        <w:jc w:val="both"/>
        <w:rPr>
          <w:color w:val="000000"/>
          <w:sz w:val="24"/>
          <w:szCs w:val="24"/>
        </w:rPr>
      </w:pP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2. Наличие на прилегающей территории</w:t>
      </w:r>
      <w:r>
        <w:rPr>
          <w:rFonts w:eastAsia="Calibri"/>
          <w:bCs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sz w:val="24"/>
          <w:szCs w:val="24"/>
        </w:rPr>
        <w:t xml:space="preserve">, порубочных остатков деревьев и кустарников. 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640CD" w:rsidRDefault="00CC42C5">
      <w:pPr>
        <w:ind w:firstLine="709"/>
        <w:contextualSpacing/>
        <w:jc w:val="both"/>
      </w:pPr>
      <w:r>
        <w:rPr>
          <w:rFonts w:ascii="Arial" w:hAnsi="Arial" w:cs="Arial"/>
        </w:rPr>
        <w:t xml:space="preserve">4. Наличие препятствующей </w:t>
      </w:r>
      <w:r>
        <w:rPr>
          <w:rFonts w:ascii="Arial" w:hAnsi="Arial" w:cs="Arial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</w:rPr>
        <w:t>наледи на прилегающих территориях.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5. Наличие сосулек на кровлях зданий, сооружений.</w:t>
      </w:r>
    </w:p>
    <w:p w:rsidR="007640CD" w:rsidRDefault="00CC42C5">
      <w:pPr>
        <w:pStyle w:val="s1"/>
        <w:shd w:val="clear" w:color="auto" w:fill="FFFFFF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640CD" w:rsidRDefault="00CC42C5">
      <w:pPr>
        <w:pStyle w:val="s1"/>
        <w:shd w:val="clear" w:color="auto" w:fill="FFFFFF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640CD" w:rsidRDefault="00CC42C5">
      <w:pPr>
        <w:pStyle w:val="s1"/>
        <w:shd w:val="clear" w:color="auto" w:fill="FFFFFF"/>
        <w:contextualSpacing/>
      </w:pPr>
      <w:r>
        <w:rPr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f6"/>
          <w:rFonts w:cs="Arial"/>
          <w:sz w:val="24"/>
          <w:szCs w:val="24"/>
        </w:rPr>
        <w:t>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7640CD" w:rsidRDefault="00CC42C5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640CD" w:rsidRDefault="00CC42C5">
      <w:pPr>
        <w:pStyle w:val="2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7640CD" w:rsidRDefault="00CC42C5">
      <w:pPr>
        <w:pStyle w:val="2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7640CD" w:rsidRDefault="007640CD">
      <w:pPr>
        <w:pStyle w:val="22"/>
        <w:widowControl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</w:p>
    <w:sectPr w:rsidR="007640CD" w:rsidSect="007640CD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88C" w:rsidRDefault="00BC188C">
      <w:r>
        <w:separator/>
      </w:r>
    </w:p>
  </w:endnote>
  <w:endnote w:type="continuationSeparator" w:id="1">
    <w:p w:rsidR="00BC188C" w:rsidRDefault="00BC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88C" w:rsidRDefault="00BC188C">
      <w:r>
        <w:separator/>
      </w:r>
    </w:p>
  </w:footnote>
  <w:footnote w:type="continuationSeparator" w:id="1">
    <w:p w:rsidR="00BC188C" w:rsidRDefault="00BC1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C5"/>
    <w:rsid w:val="0023605E"/>
    <w:rsid w:val="003243C3"/>
    <w:rsid w:val="00460452"/>
    <w:rsid w:val="007640CD"/>
    <w:rsid w:val="00BC188C"/>
    <w:rsid w:val="00C45E0D"/>
    <w:rsid w:val="00CC42C5"/>
    <w:rsid w:val="00D63154"/>
    <w:rsid w:val="00F6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640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640C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640C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640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640C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640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640C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640C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640C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640C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640C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640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640C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640C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640C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640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640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640C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640C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640C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640C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640C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640C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640C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640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640C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640CD"/>
  </w:style>
  <w:style w:type="paragraph" w:customStyle="1" w:styleId="Footer">
    <w:name w:val="Footer"/>
    <w:basedOn w:val="a"/>
    <w:link w:val="CaptionChar"/>
    <w:uiPriority w:val="99"/>
    <w:unhideWhenUsed/>
    <w:rsid w:val="007640C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640C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640C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640CD"/>
  </w:style>
  <w:style w:type="table" w:styleId="aa">
    <w:name w:val="Table Grid"/>
    <w:uiPriority w:val="59"/>
    <w:rsid w:val="00764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640C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640C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640C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640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640C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640C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640CD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640C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640C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640CD"/>
    <w:rPr>
      <w:sz w:val="18"/>
    </w:rPr>
  </w:style>
  <w:style w:type="character" w:styleId="ad">
    <w:name w:val="footnote reference"/>
    <w:basedOn w:val="a0"/>
    <w:uiPriority w:val="99"/>
    <w:unhideWhenUsed/>
    <w:rsid w:val="007640C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640C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7640C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640C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640CD"/>
    <w:pPr>
      <w:spacing w:after="57"/>
    </w:pPr>
  </w:style>
  <w:style w:type="paragraph" w:styleId="21">
    <w:name w:val="toc 2"/>
    <w:basedOn w:val="a"/>
    <w:next w:val="a"/>
    <w:uiPriority w:val="39"/>
    <w:unhideWhenUsed/>
    <w:rsid w:val="007640C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640C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640C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640C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640C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640C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640C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640CD"/>
    <w:pPr>
      <w:spacing w:after="57"/>
      <w:ind w:left="2268"/>
    </w:pPr>
  </w:style>
  <w:style w:type="paragraph" w:styleId="af1">
    <w:name w:val="TOC Heading"/>
    <w:uiPriority w:val="39"/>
    <w:unhideWhenUsed/>
    <w:rsid w:val="007640CD"/>
  </w:style>
  <w:style w:type="paragraph" w:styleId="af2">
    <w:name w:val="table of figures"/>
    <w:basedOn w:val="a"/>
    <w:next w:val="a"/>
    <w:uiPriority w:val="99"/>
    <w:unhideWhenUsed/>
    <w:rsid w:val="007640CD"/>
  </w:style>
  <w:style w:type="paragraph" w:customStyle="1" w:styleId="Heading2">
    <w:name w:val="Heading 2"/>
    <w:basedOn w:val="Heading"/>
    <w:next w:val="af3"/>
    <w:link w:val="Heading2Char"/>
    <w:qFormat/>
    <w:rsid w:val="007640CD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7640CD"/>
    <w:rPr>
      <w:color w:val="000080"/>
      <w:u w:val="single"/>
    </w:rPr>
  </w:style>
  <w:style w:type="character" w:customStyle="1" w:styleId="StrongEmphasis">
    <w:name w:val="Strong Emphasis"/>
    <w:qFormat/>
    <w:rsid w:val="007640CD"/>
    <w:rPr>
      <w:b/>
      <w:bCs/>
    </w:rPr>
  </w:style>
  <w:style w:type="character" w:customStyle="1" w:styleId="af5">
    <w:name w:val="Текст примечания Знак"/>
    <w:basedOn w:val="a0"/>
    <w:qFormat/>
    <w:rsid w:val="00764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qFormat/>
    <w:rsid w:val="007640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ing">
    <w:name w:val="Heading"/>
    <w:basedOn w:val="a"/>
    <w:next w:val="af3"/>
    <w:qFormat/>
    <w:rsid w:val="007640CD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7640CD"/>
    <w:pPr>
      <w:spacing w:after="283" w:line="276" w:lineRule="auto"/>
    </w:pPr>
  </w:style>
  <w:style w:type="paragraph" w:styleId="af7">
    <w:name w:val="No Spacing"/>
    <w:qFormat/>
    <w:rsid w:val="007640CD"/>
    <w:rPr>
      <w:rFonts w:ascii="Calibri" w:hAnsi="Calibri"/>
      <w:color w:val="auto"/>
      <w:sz w:val="22"/>
      <w:szCs w:val="22"/>
      <w:lang w:eastAsia="ru-RU" w:bidi="ar-SA"/>
    </w:rPr>
  </w:style>
  <w:style w:type="paragraph" w:styleId="22">
    <w:name w:val="Body Text 2"/>
    <w:basedOn w:val="a"/>
    <w:qFormat/>
    <w:rsid w:val="007640CD"/>
    <w:pPr>
      <w:spacing w:after="120" w:line="480" w:lineRule="auto"/>
    </w:pPr>
  </w:style>
  <w:style w:type="paragraph" w:customStyle="1" w:styleId="ConsPlusNormal">
    <w:name w:val="ConsPlusNormal"/>
    <w:qFormat/>
    <w:rsid w:val="007640CD"/>
    <w:pPr>
      <w:ind w:firstLine="7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ConsPlusTitle">
    <w:name w:val="ConsPlusTitle"/>
    <w:qFormat/>
    <w:rsid w:val="007640CD"/>
    <w:pPr>
      <w:widowControl w:val="0"/>
    </w:pPr>
    <w:rPr>
      <w:rFonts w:ascii="Calibri" w:eastAsia="Calibri" w:hAnsi="Calibri" w:cs="Calibri"/>
      <w:b/>
      <w:bCs/>
      <w:color w:val="auto"/>
      <w:sz w:val="22"/>
      <w:szCs w:val="22"/>
      <w:lang w:bidi="ar-SA"/>
    </w:rPr>
  </w:style>
  <w:style w:type="paragraph" w:customStyle="1" w:styleId="s1">
    <w:name w:val="s_1"/>
    <w:basedOn w:val="a"/>
    <w:qFormat/>
    <w:rsid w:val="007640CD"/>
    <w:pPr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6;%20&#8470;28%20&#1080;&#1085;&#1076;&#1080;&#1082;&#1072;&#1090;&#1086;&#1088;&#1099;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 №28 индикаторы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2023-07-17T06:19:00Z</dcterms:created>
  <dcterms:modified xsi:type="dcterms:W3CDTF">2023-07-17T06:19:00Z</dcterms:modified>
  <dc:language>en-US</dc:language>
</cp:coreProperties>
</file>